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C639" w14:textId="77777777" w:rsidR="002D0993" w:rsidRDefault="002D0993" w:rsidP="002D0993">
      <w:pPr>
        <w:pStyle w:val="Heading3"/>
        <w:spacing w:before="0" w:after="120"/>
        <w:jc w:val="center"/>
        <w:rPr>
          <w:b w:val="0"/>
          <w:bCs w:val="0"/>
          <w:color w:val="262626" w:themeColor="text1" w:themeTint="D9"/>
          <w:sz w:val="32"/>
          <w:szCs w:val="24"/>
        </w:rPr>
      </w:pPr>
    </w:p>
    <w:p w14:paraId="5B4B4D8B" w14:textId="637029C1" w:rsidR="00CF2040" w:rsidRPr="00BE19CB" w:rsidRDefault="00CF2040" w:rsidP="002D0993">
      <w:pPr>
        <w:pStyle w:val="Heading3"/>
        <w:spacing w:before="0" w:after="120"/>
        <w:jc w:val="center"/>
        <w:rPr>
          <w:b w:val="0"/>
          <w:bCs w:val="0"/>
          <w:color w:val="262626" w:themeColor="text1" w:themeTint="D9"/>
          <w:sz w:val="32"/>
          <w:szCs w:val="24"/>
        </w:rPr>
      </w:pPr>
      <w:r w:rsidRPr="00BE19CB">
        <w:rPr>
          <w:b w:val="0"/>
          <w:bCs w:val="0"/>
          <w:color w:val="262626" w:themeColor="text1" w:themeTint="D9"/>
          <w:sz w:val="32"/>
          <w:szCs w:val="24"/>
        </w:rPr>
        <w:t>Job Description for:</w:t>
      </w:r>
    </w:p>
    <w:p w14:paraId="72EABA24" w14:textId="6DDD8EDB" w:rsidR="00CF2040" w:rsidRPr="00BE19CB" w:rsidRDefault="00CF2040" w:rsidP="00CF2040">
      <w:pPr>
        <w:pStyle w:val="Heading3"/>
        <w:spacing w:before="0" w:after="120"/>
        <w:jc w:val="center"/>
        <w:rPr>
          <w:color w:val="262626" w:themeColor="text1" w:themeTint="D9"/>
          <w:sz w:val="36"/>
        </w:rPr>
      </w:pPr>
      <w:r>
        <w:rPr>
          <w:i/>
          <w:color w:val="262626" w:themeColor="text1" w:themeTint="D9"/>
          <w:sz w:val="36"/>
        </w:rPr>
        <w:t>Peer</w:t>
      </w:r>
      <w:r w:rsidRPr="00BE19CB">
        <w:rPr>
          <w:i/>
          <w:color w:val="262626" w:themeColor="text1" w:themeTint="D9"/>
          <w:sz w:val="36"/>
        </w:rPr>
        <w:t xml:space="preserve"> Support Worker</w:t>
      </w:r>
      <w:r w:rsidR="00C32A0A">
        <w:rPr>
          <w:i/>
          <w:color w:val="262626" w:themeColor="text1" w:themeTint="D9"/>
          <w:sz w:val="36"/>
        </w:rPr>
        <w:t xml:space="preserve"> – </w:t>
      </w:r>
      <w:proofErr w:type="spellStart"/>
      <w:r w:rsidR="00C32A0A">
        <w:rPr>
          <w:i/>
          <w:color w:val="262626" w:themeColor="text1" w:themeTint="D9"/>
          <w:sz w:val="36"/>
        </w:rPr>
        <w:t>Kaimahi</w:t>
      </w:r>
      <w:proofErr w:type="spellEnd"/>
      <w:r w:rsidR="00C32A0A">
        <w:rPr>
          <w:i/>
          <w:color w:val="262626" w:themeColor="text1" w:themeTint="D9"/>
          <w:sz w:val="36"/>
        </w:rPr>
        <w:t xml:space="preserve"> </w:t>
      </w:r>
      <w:proofErr w:type="spellStart"/>
      <w:r w:rsidR="00C32A0A">
        <w:rPr>
          <w:i/>
          <w:color w:val="262626" w:themeColor="text1" w:themeTint="D9"/>
          <w:sz w:val="36"/>
        </w:rPr>
        <w:t>Āwhi</w:t>
      </w:r>
      <w:proofErr w:type="spellEnd"/>
      <w:r w:rsidR="00C32A0A">
        <w:rPr>
          <w:i/>
          <w:color w:val="262626" w:themeColor="text1" w:themeTint="D9"/>
          <w:sz w:val="36"/>
        </w:rPr>
        <w:t xml:space="preserve"> Hauora</w:t>
      </w:r>
    </w:p>
    <w:p w14:paraId="31F3DF74" w14:textId="77777777" w:rsidR="00CF2040" w:rsidRPr="00BE19CB" w:rsidRDefault="00CF2040" w:rsidP="00CF2040">
      <w:pPr>
        <w:rPr>
          <w:color w:val="262626" w:themeColor="text1" w:themeTint="D9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2381"/>
        <w:gridCol w:w="2014"/>
        <w:gridCol w:w="3231"/>
      </w:tblGrid>
      <w:tr w:rsidR="00CF2040" w:rsidRPr="00DD0E0E" w14:paraId="6EF4196A" w14:textId="77777777" w:rsidTr="002D0993">
        <w:tc>
          <w:tcPr>
            <w:tcW w:w="5216" w:type="dxa"/>
            <w:gridSpan w:val="2"/>
          </w:tcPr>
          <w:p w14:paraId="73D04007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 xml:space="preserve">Location: </w:t>
            </w:r>
            <w:r w:rsidRPr="003617FF">
              <w:rPr>
                <w:b w:val="0"/>
                <w:bCs w:val="0"/>
                <w:color w:val="262626" w:themeColor="text1" w:themeTint="D9"/>
                <w:sz w:val="22"/>
                <w:szCs w:val="22"/>
              </w:rPr>
              <w:t>Lakes Region</w:t>
            </w:r>
          </w:p>
        </w:tc>
        <w:tc>
          <w:tcPr>
            <w:tcW w:w="5245" w:type="dxa"/>
            <w:gridSpan w:val="2"/>
          </w:tcPr>
          <w:p w14:paraId="1735330C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 xml:space="preserve">Date: 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>July 2020</w:t>
            </w:r>
          </w:p>
        </w:tc>
      </w:tr>
      <w:tr w:rsidR="00CF2040" w:rsidRPr="00DD0E0E" w14:paraId="029DFFD0" w14:textId="77777777" w:rsidTr="002D0993">
        <w:tc>
          <w:tcPr>
            <w:tcW w:w="5216" w:type="dxa"/>
            <w:gridSpan w:val="2"/>
          </w:tcPr>
          <w:p w14:paraId="257FF158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b w:val="0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 xml:space="preserve">Reports to: 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>Team Manager</w:t>
            </w:r>
          </w:p>
        </w:tc>
        <w:tc>
          <w:tcPr>
            <w:tcW w:w="5245" w:type="dxa"/>
            <w:gridSpan w:val="2"/>
          </w:tcPr>
          <w:p w14:paraId="385A7DEF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b w:val="0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 xml:space="preserve">Direct Reports: 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>N/A</w:t>
            </w:r>
          </w:p>
        </w:tc>
      </w:tr>
      <w:tr w:rsidR="00CF2040" w:rsidRPr="00DD0E0E" w14:paraId="4DEE0B3E" w14:textId="77777777" w:rsidTr="002D0993">
        <w:tc>
          <w:tcPr>
            <w:tcW w:w="5216" w:type="dxa"/>
            <w:gridSpan w:val="2"/>
          </w:tcPr>
          <w:p w14:paraId="026B74B5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>Functional Relationships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  <w:r w:rsidRPr="003617FF">
              <w:rPr>
                <w:color w:val="262626" w:themeColor="text1" w:themeTint="D9"/>
                <w:sz w:val="22"/>
                <w:szCs w:val="22"/>
              </w:rPr>
              <w:t>Internal:</w:t>
            </w:r>
            <w:r w:rsidRPr="003617FF">
              <w:rPr>
                <w:color w:val="262626" w:themeColor="text1" w:themeTint="D9"/>
                <w:sz w:val="22"/>
                <w:szCs w:val="22"/>
              </w:rPr>
              <w:tab/>
            </w:r>
          </w:p>
          <w:p w14:paraId="6F68E253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20" w:hanging="3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Team Leader</w:t>
            </w:r>
          </w:p>
          <w:p w14:paraId="25BF7F30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20" w:hanging="3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</w:p>
          <w:p w14:paraId="3E7F1C25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20" w:hanging="3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Colleagues at the service</w:t>
            </w:r>
          </w:p>
          <w:p w14:paraId="2D678AC3" w14:textId="77777777" w:rsidR="00CF2040" w:rsidRPr="003617FF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78433414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>Functional Relationships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  <w:r w:rsidRPr="003617FF">
              <w:rPr>
                <w:color w:val="262626" w:themeColor="text1" w:themeTint="D9"/>
                <w:sz w:val="22"/>
                <w:szCs w:val="22"/>
              </w:rPr>
              <w:t>External:</w:t>
            </w:r>
          </w:p>
          <w:p w14:paraId="4531C9EB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06" w:hanging="284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Community Services/Organisations</w:t>
            </w:r>
          </w:p>
          <w:p w14:paraId="221C1085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06" w:hanging="284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Rotorua and Taupo Mental Health Services</w:t>
            </w:r>
          </w:p>
          <w:p w14:paraId="29B2711F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06" w:hanging="284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ora’s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Whanau</w:t>
            </w:r>
          </w:p>
          <w:p w14:paraId="3DAA6B95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06" w:hanging="284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Clinical Teams</w:t>
            </w:r>
          </w:p>
        </w:tc>
      </w:tr>
      <w:tr w:rsidR="00CF2040" w:rsidRPr="00DD0E0E" w14:paraId="5A8207C7" w14:textId="77777777" w:rsidTr="002D0993">
        <w:tc>
          <w:tcPr>
            <w:tcW w:w="10461" w:type="dxa"/>
            <w:gridSpan w:val="4"/>
          </w:tcPr>
          <w:p w14:paraId="40323ABE" w14:textId="00364142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>Primary Objective(s)</w:t>
            </w:r>
            <w:r w:rsidR="00C32A0A" w:rsidRPr="003617FF">
              <w:rPr>
                <w:color w:val="262626" w:themeColor="text1" w:themeTint="D9"/>
                <w:sz w:val="22"/>
                <w:szCs w:val="22"/>
              </w:rPr>
              <w:t xml:space="preserve"> – </w:t>
            </w:r>
            <w:proofErr w:type="spellStart"/>
            <w:r w:rsidR="00C32A0A" w:rsidRPr="003617FF">
              <w:rPr>
                <w:color w:val="262626" w:themeColor="text1" w:themeTint="D9"/>
                <w:sz w:val="22"/>
                <w:szCs w:val="22"/>
              </w:rPr>
              <w:t>Te</w:t>
            </w:r>
            <w:proofErr w:type="spellEnd"/>
            <w:r w:rsidR="00C32A0A" w:rsidRPr="003617FF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32A0A" w:rsidRPr="003617FF">
              <w:rPr>
                <w:color w:val="262626" w:themeColor="text1" w:themeTint="D9"/>
                <w:sz w:val="22"/>
                <w:szCs w:val="22"/>
              </w:rPr>
              <w:t>Mea</w:t>
            </w:r>
            <w:proofErr w:type="spellEnd"/>
            <w:r w:rsidR="00C32A0A" w:rsidRPr="003617FF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32A0A" w:rsidRPr="003617FF">
              <w:rPr>
                <w:color w:val="262626" w:themeColor="text1" w:themeTint="D9"/>
                <w:sz w:val="22"/>
                <w:szCs w:val="22"/>
              </w:rPr>
              <w:t>Tuatahi</w:t>
            </w:r>
            <w:proofErr w:type="spellEnd"/>
            <w:r w:rsidRPr="003617FF">
              <w:rPr>
                <w:color w:val="262626" w:themeColor="text1" w:themeTint="D9"/>
                <w:sz w:val="22"/>
                <w:szCs w:val="22"/>
              </w:rPr>
              <w:t xml:space="preserve">: </w:t>
            </w:r>
          </w:p>
          <w:p w14:paraId="6105E557" w14:textId="77777777" w:rsidR="001C45E5" w:rsidRPr="003617FF" w:rsidRDefault="00CF2040" w:rsidP="00CF2040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after="120"/>
              <w:ind w:left="43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The delivery of support for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residing in the service, offering direct intentional support and therapeutic intervention. Team members will be expected to practice within Ember’s holistic Rehabilitation Model, utilising their professional skills, knowledge and experience.</w:t>
            </w:r>
            <w:r w:rsidR="001C45E5"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6204501B" w14:textId="61439A85" w:rsidR="00CF2040" w:rsidRPr="003617FF" w:rsidRDefault="001C45E5" w:rsidP="00CF2040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after="120"/>
              <w:ind w:left="43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C145BF">
              <w:rPr>
                <w:color w:val="000000" w:themeColor="text1"/>
                <w:sz w:val="22"/>
              </w:rPr>
              <w:t xml:space="preserve">To walk alongside people in their recovery journey, role-modelling hope for recovery, </w:t>
            </w:r>
            <w:r w:rsidR="00C145BF" w:rsidRPr="00C145BF">
              <w:rPr>
                <w:color w:val="000000" w:themeColor="text1"/>
                <w:sz w:val="22"/>
              </w:rPr>
              <w:t>and using your own lived experience to inform practice.</w:t>
            </w:r>
          </w:p>
        </w:tc>
      </w:tr>
      <w:tr w:rsidR="00CF2040" w:rsidRPr="00DD0E0E" w14:paraId="2A0F3C85" w14:textId="77777777" w:rsidTr="002D0993">
        <w:tblPrEx>
          <w:tblLook w:val="0000" w:firstRow="0" w:lastRow="0" w:firstColumn="0" w:lastColumn="0" w:noHBand="0" w:noVBand="0"/>
        </w:tblPrEx>
        <w:tc>
          <w:tcPr>
            <w:tcW w:w="2835" w:type="dxa"/>
            <w:tcBorders>
              <w:bottom w:val="nil"/>
            </w:tcBorders>
            <w:shd w:val="clear" w:color="auto" w:fill="000000"/>
          </w:tcPr>
          <w:p w14:paraId="497153AE" w14:textId="77777777" w:rsidR="00CF2040" w:rsidRPr="00DD0E0E" w:rsidRDefault="00CF2040" w:rsidP="008929F2">
            <w:pPr>
              <w:pStyle w:val="Heading1"/>
              <w:snapToGrid w:val="0"/>
              <w:spacing w:before="0" w:beforeAutospacing="0" w:after="120" w:afterAutospacing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Key Result Areas</w:t>
            </w:r>
          </w:p>
        </w:tc>
        <w:tc>
          <w:tcPr>
            <w:tcW w:w="4395" w:type="dxa"/>
            <w:gridSpan w:val="2"/>
            <w:tcBorders>
              <w:bottom w:val="nil"/>
            </w:tcBorders>
            <w:shd w:val="clear" w:color="auto" w:fill="000000"/>
          </w:tcPr>
          <w:p w14:paraId="1BA413C1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Key Tasks</w:t>
            </w:r>
          </w:p>
        </w:tc>
        <w:tc>
          <w:tcPr>
            <w:tcW w:w="3231" w:type="dxa"/>
            <w:tcBorders>
              <w:bottom w:val="nil"/>
            </w:tcBorders>
            <w:shd w:val="clear" w:color="auto" w:fill="000000"/>
          </w:tcPr>
          <w:p w14:paraId="009688EA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Expected Outcomes</w:t>
            </w:r>
          </w:p>
        </w:tc>
      </w:tr>
      <w:tr w:rsidR="00CF2040" w:rsidRPr="00DD0E0E" w14:paraId="7FB7D0FA" w14:textId="77777777" w:rsidTr="002D0993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870C" w14:textId="526178B6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Ensures that all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are receiving a service that is tailored to their needs and aspirations, addressing psychological, physical, spiritual, cultural and family/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issues </w:t>
            </w:r>
            <w:r w:rsidR="00A1398D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of their cho</w:t>
            </w:r>
            <w:r w:rsidR="00A67D33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osing</w:t>
            </w:r>
            <w:r w:rsidR="00A1398D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via individualised rehabilitation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938E8" w14:textId="03E3B65F" w:rsidR="00A1398D" w:rsidRPr="00A1398D" w:rsidRDefault="00855870" w:rsidP="00A1398D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O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wn personal lived experience</w:t>
            </w:r>
            <w:r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s </w:t>
            </w:r>
            <w:r w:rsidR="00F067D6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of recovery </w:t>
            </w:r>
            <w:r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are drawn upon 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 xml:space="preserve">to support </w:t>
            </w:r>
            <w:proofErr w:type="spellStart"/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 xml:space="preserve"> whaiora</w:t>
            </w:r>
            <w:r w:rsidR="00F067D6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 xml:space="preserve">along with their </w:t>
            </w:r>
            <w:proofErr w:type="spellStart"/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>ā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="00C1571D">
              <w:rPr>
                <w:rFonts w:cs="Arial"/>
                <w:color w:val="262626" w:themeColor="text1" w:themeTint="D9"/>
                <w:sz w:val="22"/>
                <w:szCs w:val="22"/>
              </w:rPr>
              <w:t>.</w:t>
            </w:r>
          </w:p>
          <w:p w14:paraId="5AF69656" w14:textId="0AE80A98" w:rsidR="00CF2040" w:rsidRDefault="00CF2040" w:rsidP="00CF2040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Holistic wellbeing assessments and rehabilitation plans are written and progress regularly reviewed with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, their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, and the team.</w:t>
            </w:r>
          </w:p>
          <w:p w14:paraId="40F24190" w14:textId="5E576778" w:rsidR="00CF2040" w:rsidRPr="00DD0E0E" w:rsidRDefault="00CF2040" w:rsidP="00CF2040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Knowledge based approaches are utilised that address all aspects of health, wellbeing and functioning</w:t>
            </w:r>
          </w:p>
          <w:p w14:paraId="28CA0B14" w14:textId="0DE52665" w:rsidR="00CF2040" w:rsidRPr="00DD0E0E" w:rsidRDefault="00CF2040" w:rsidP="00CF2040">
            <w:pPr>
              <w:pStyle w:val="BodyTextIndent"/>
              <w:numPr>
                <w:ilvl w:val="0"/>
                <w:numId w:val="5"/>
              </w:numPr>
              <w:snapToGrid w:val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Relationships are developed with community agencies/resources. </w:t>
            </w:r>
          </w:p>
          <w:p w14:paraId="6A17C8F8" w14:textId="77777777" w:rsidR="00CF2040" w:rsidRPr="00DD0E0E" w:rsidRDefault="00CF2040" w:rsidP="00CF2040">
            <w:pPr>
              <w:pStyle w:val="BodyTextIndent"/>
              <w:numPr>
                <w:ilvl w:val="0"/>
                <w:numId w:val="5"/>
              </w:numPr>
              <w:snapToGrid w:val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provided with information and resources in order to make informed choices about their care.</w:t>
            </w:r>
          </w:p>
          <w:p w14:paraId="2D85AF9B" w14:textId="77777777" w:rsidR="00CF2040" w:rsidRPr="00DD0E0E" w:rsidRDefault="00CF2040" w:rsidP="00CF2040">
            <w:pPr>
              <w:pStyle w:val="BodyTextIndent"/>
              <w:numPr>
                <w:ilvl w:val="0"/>
                <w:numId w:val="5"/>
              </w:numPr>
              <w:snapToGrid w:val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A recovery-focused attitude is adopted, in which all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seen as capable of moving towards the life of their choice with the right supports.</w:t>
            </w:r>
          </w:p>
          <w:p w14:paraId="7CAE9B28" w14:textId="122E5987" w:rsidR="00CF2040" w:rsidRPr="00DD0E0E" w:rsidRDefault="00CF2040" w:rsidP="00CF2040">
            <w:pPr>
              <w:pStyle w:val="BodyTextIndent"/>
              <w:numPr>
                <w:ilvl w:val="0"/>
                <w:numId w:val="5"/>
              </w:numPr>
              <w:snapToGrid w:val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lastRenderedPageBreak/>
              <w:t xml:space="preserve">Tangata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and their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included in all aspects of their care, as the directors of their recovery</w:t>
            </w:r>
            <w:r w:rsidR="00C1571D">
              <w:rPr>
                <w:rFonts w:cs="Arial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3432B" w14:textId="77777777" w:rsidR="00CF2040" w:rsidRPr="00DD0E0E" w:rsidRDefault="00CF2040" w:rsidP="00CF2040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lastRenderedPageBreak/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ora are recovering, including  choosing, getting and keeping meaningful roles.</w:t>
            </w:r>
          </w:p>
          <w:p w14:paraId="33B4A95B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34D1CEA4" w14:textId="77777777" w:rsidR="00CF2040" w:rsidRPr="00DD0E0E" w:rsidRDefault="00CF2040" w:rsidP="00CF2040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Documentation demonstrates that all aspects of wellbeing are being explored.</w:t>
            </w:r>
          </w:p>
          <w:p w14:paraId="6FF14776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164F6A90" w14:textId="3EA6AC71" w:rsidR="00CF2040" w:rsidRPr="00DD0E0E" w:rsidRDefault="00CF2040" w:rsidP="00CF2040">
            <w:pPr>
              <w:pStyle w:val="Header"/>
              <w:numPr>
                <w:ilvl w:val="0"/>
                <w:numId w:val="3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and family/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feedback indicate high levels of satisfaction</w:t>
            </w:r>
          </w:p>
        </w:tc>
      </w:tr>
      <w:tr w:rsidR="00CF2040" w:rsidRPr="00DD0E0E" w14:paraId="30EFD483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0FA4" w14:textId="77777777" w:rsidR="00CF2040" w:rsidRPr="00DD0E0E" w:rsidRDefault="00CF2040" w:rsidP="008929F2">
            <w:pPr>
              <w:pStyle w:val="Heading5"/>
              <w:snapToGrid w:val="0"/>
              <w:spacing w:after="120"/>
              <w:rPr>
                <w:rFonts w:cs="Arial"/>
                <w:color w:val="262626" w:themeColor="text1" w:themeTint="D9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Cs w:val="22"/>
              </w:rPr>
              <w:t>Liaises with clinical teams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9D421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Communicates regularly and effectively, and works collaboratively, with members of the clinical teams, both reactively in relation to supporting individual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and pro-actively through building relationships.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CFC0" w14:textId="77777777" w:rsidR="00CF2040" w:rsidRPr="00DD0E0E" w:rsidRDefault="00CF2040" w:rsidP="00CF2040">
            <w:pPr>
              <w:numPr>
                <w:ilvl w:val="0"/>
                <w:numId w:val="3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Ember will be recognised as being professional and collaborative through the clinical service feedback.</w:t>
            </w:r>
          </w:p>
          <w:p w14:paraId="3EADE9D1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CF2040" w:rsidRPr="00DD0E0E" w14:paraId="28970015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87A68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Adheres to client management systems, including medication management, blood testing, reviews and reports.  Works within the organisation’s policies and procedures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CD94C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Works within and contributes to the development of effective systems for ensuring that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receive support and treatment as scheduled including</w:t>
            </w:r>
          </w:p>
          <w:p w14:paraId="0C6919A5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Medication management</w:t>
            </w:r>
          </w:p>
          <w:p w14:paraId="37098B1C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Blood testing</w:t>
            </w:r>
          </w:p>
          <w:p w14:paraId="042A858C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Regular physical checks</w:t>
            </w:r>
          </w:p>
          <w:p w14:paraId="6E51ED33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Monitoring diarising of support</w:t>
            </w:r>
          </w:p>
          <w:p w14:paraId="5805B736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Monitoring of reviews</w:t>
            </w:r>
          </w:p>
          <w:p w14:paraId="6E526BDB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Monitoring production and communication of reports</w:t>
            </w:r>
          </w:p>
          <w:p w14:paraId="6B009735" w14:textId="13AAB394" w:rsidR="00A67D33" w:rsidRPr="00A67D33" w:rsidRDefault="00A67D33" w:rsidP="00A67D33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A67D33">
              <w:rPr>
                <w:rFonts w:cs="Arial"/>
                <w:color w:val="262626" w:themeColor="text1" w:themeTint="D9"/>
                <w:sz w:val="22"/>
                <w:szCs w:val="22"/>
              </w:rPr>
              <w:t>Is conversant with all policies and procedures.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6C4" w14:textId="77777777" w:rsidR="00CF2040" w:rsidRPr="00DD0E0E" w:rsidRDefault="00CF2040" w:rsidP="00CF2040">
            <w:pPr>
              <w:numPr>
                <w:ilvl w:val="0"/>
                <w:numId w:val="3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Review of documentation will demonstrate that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have received support and treatment as planned</w:t>
            </w:r>
          </w:p>
        </w:tc>
      </w:tr>
      <w:tr w:rsidR="00CF2040" w:rsidRPr="00DD0E0E" w14:paraId="3743C069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AE5EB" w14:textId="6F733410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Provides direct support to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and their family/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on an individual and group basis to find, get and keep meaningful roles in their living, learning, working, social and/or cultural domains (or to build their readiness to do this)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9357A" w14:textId="0108ED93" w:rsidR="0001677E" w:rsidRPr="006B3617" w:rsidRDefault="0001677E" w:rsidP="0001677E">
            <w:pPr>
              <w:numPr>
                <w:ilvl w:val="0"/>
                <w:numId w:val="3"/>
              </w:numPr>
              <w:snapToGrid w:val="0"/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6B3617">
              <w:rPr>
                <w:color w:val="000000" w:themeColor="text1"/>
                <w:sz w:val="22"/>
              </w:rPr>
              <w:t xml:space="preserve">Develops appropriate supportive relationships with </w:t>
            </w:r>
            <w:proofErr w:type="spellStart"/>
            <w:r w:rsidRPr="006B3617">
              <w:rPr>
                <w:color w:val="000000" w:themeColor="text1"/>
                <w:sz w:val="22"/>
              </w:rPr>
              <w:t>tangata</w:t>
            </w:r>
            <w:proofErr w:type="spellEnd"/>
            <w:r w:rsidRPr="006B3617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6B3617">
              <w:rPr>
                <w:color w:val="000000" w:themeColor="text1"/>
                <w:sz w:val="22"/>
              </w:rPr>
              <w:t>whai</w:t>
            </w:r>
            <w:proofErr w:type="spellEnd"/>
            <w:r w:rsidR="00B61D0A" w:rsidRPr="006B3617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6B3617">
              <w:rPr>
                <w:color w:val="000000" w:themeColor="text1"/>
                <w:sz w:val="22"/>
              </w:rPr>
              <w:t>ora</w:t>
            </w:r>
            <w:proofErr w:type="spellEnd"/>
            <w:r w:rsidRPr="006B3617">
              <w:rPr>
                <w:color w:val="000000" w:themeColor="text1"/>
                <w:sz w:val="22"/>
              </w:rPr>
              <w:t xml:space="preserve"> based on shared experience of mental distress and/or trauma</w:t>
            </w:r>
            <w:r w:rsidR="00F56267" w:rsidRPr="006B3617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="00F56267" w:rsidRPr="006B3617">
              <w:rPr>
                <w:color w:val="000000" w:themeColor="text1"/>
                <w:sz w:val="22"/>
              </w:rPr>
              <w:t>organsational</w:t>
            </w:r>
            <w:proofErr w:type="spellEnd"/>
            <w:r w:rsidR="00F56267" w:rsidRPr="006B3617">
              <w:rPr>
                <w:color w:val="000000" w:themeColor="text1"/>
                <w:sz w:val="22"/>
              </w:rPr>
              <w:t xml:space="preserve"> values, and practice model values</w:t>
            </w:r>
            <w:r w:rsidRPr="006B3617">
              <w:rPr>
                <w:color w:val="000000" w:themeColor="text1"/>
                <w:sz w:val="22"/>
              </w:rPr>
              <w:t xml:space="preserve">.  </w:t>
            </w:r>
          </w:p>
          <w:p w14:paraId="0EE07E0F" w14:textId="77777777" w:rsidR="0012155A" w:rsidRDefault="0012155A" w:rsidP="0012155A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Shares personal stories and experiences of hope and recovery, and role models recovery in action</w:t>
            </w:r>
          </w:p>
          <w:p w14:paraId="25833C5E" w14:textId="06420951" w:rsidR="00CF2040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Demonstrates competence in rehabilitation approaches including connecting, assessment, skills and resource building, rehabilitation readiness development, and evaluation.</w:t>
            </w:r>
          </w:p>
          <w:p w14:paraId="52B03345" w14:textId="52A04CB4" w:rsidR="00855870" w:rsidRPr="00DD0E0E" w:rsidRDefault="0085587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Facilitates peer support groups</w:t>
            </w:r>
          </w:p>
          <w:p w14:paraId="36AFAD61" w14:textId="035A5514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Direct support </w:t>
            </w:r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utilises </w:t>
            </w:r>
            <w:r w:rsidR="009C255C"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personal experience and well as </w:t>
            </w:r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professional </w:t>
            </w:r>
            <w:r w:rsidR="009C255C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experience, 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skills</w:t>
            </w:r>
            <w:r w:rsidR="009C255C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and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knowledge 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D3E35" w14:textId="11CD036B" w:rsidR="00B61D0A" w:rsidRPr="006B3617" w:rsidRDefault="00B61D0A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>Tangata</w:t>
            </w:r>
            <w:proofErr w:type="spellEnd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>whai</w:t>
            </w:r>
            <w:proofErr w:type="spellEnd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>ora</w:t>
            </w:r>
            <w:proofErr w:type="spellEnd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 are reporting positive, recovery-orientated relationships with Ember staff</w:t>
            </w:r>
          </w:p>
          <w:p w14:paraId="0C9B23CE" w14:textId="36E4BD41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recovering</w:t>
            </w:r>
          </w:p>
          <w:p w14:paraId="36B946D7" w14:textId="1A3A6760" w:rsidR="00CF2040" w:rsidRPr="00DD0E0E" w:rsidRDefault="00457A7B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62626" w:themeColor="text1" w:themeTint="D9"/>
                <w:sz w:val="22"/>
                <w:szCs w:val="22"/>
              </w:rPr>
              <w:t>T</w:t>
            </w:r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angata</w:t>
            </w:r>
            <w:proofErr w:type="spellEnd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building rehabilitation readiness </w:t>
            </w:r>
          </w:p>
          <w:p w14:paraId="7CDF7800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setting, working towards and achieving goals</w:t>
            </w:r>
          </w:p>
          <w:p w14:paraId="240B864C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moving out of the service into accommodation of their choice with the paid and/or natural supports that they require.</w:t>
            </w:r>
          </w:p>
          <w:p w14:paraId="4FBD9681" w14:textId="5BFBF152" w:rsidR="0012155A" w:rsidRPr="00B61D0A" w:rsidRDefault="00CF2040" w:rsidP="00996AF7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working, learning and socialising in the community</w:t>
            </w:r>
          </w:p>
        </w:tc>
      </w:tr>
      <w:tr w:rsidR="00CF2040" w:rsidRPr="00DD0E0E" w14:paraId="2DEEF6DD" w14:textId="77777777" w:rsidTr="002D0993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450D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lastRenderedPageBreak/>
              <w:t xml:space="preserve">Delivers support that respects and involves the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ora’s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culture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D372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Demonstrates competence in the application of Māori models of health that are utilised within the service and organisation.</w:t>
            </w:r>
          </w:p>
          <w:p w14:paraId="752EA071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Completes assessments and planning with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that determine and work towards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ora’s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cultural needs and ambitions.</w:t>
            </w:r>
          </w:p>
          <w:p w14:paraId="18CDFBB3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When necessary, seeks cultural advice to ensure that work is culturally responsive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DC431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file audits demonstrate that assessments are completed for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ora’s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cultural wants/needs.</w:t>
            </w:r>
          </w:p>
          <w:p w14:paraId="299C4E30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Where these needs are identified, documentation reflects that these are being actively worked towards.</w:t>
            </w:r>
          </w:p>
          <w:p w14:paraId="6C705EBA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Feedback from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show high levels of satisfaction with the level of culturally responsive practice. </w:t>
            </w:r>
          </w:p>
        </w:tc>
      </w:tr>
      <w:tr w:rsidR="00CF2040" w:rsidRPr="00DD0E0E" w14:paraId="56F7B2ED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4856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Participating actively in the Residential Team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F318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Works supportively and effectively with other team members to achieve the goals of the team</w:t>
            </w:r>
          </w:p>
          <w:p w14:paraId="03D36138" w14:textId="77777777" w:rsidR="00CF2040" w:rsidRDefault="00CF2040" w:rsidP="00CF2040">
            <w:pPr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Attends and participates in the regular team hui</w:t>
            </w:r>
          </w:p>
          <w:p w14:paraId="61207C4F" w14:textId="77777777" w:rsidR="006D17C1" w:rsidRDefault="006D17C1" w:rsidP="006D17C1">
            <w:pPr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Role models recovery in action to other team members</w:t>
            </w:r>
          </w:p>
          <w:p w14:paraId="723AB01D" w14:textId="656AA0A7" w:rsidR="00F93A9D" w:rsidRPr="006D17C1" w:rsidRDefault="00F93A9D" w:rsidP="006D17C1">
            <w:pPr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Offers a peer perspective to the team, by contributing to team hui, team co-reflective practice, and providing consultation to colleagues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344EA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522" w:hanging="52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360° feedback indicates that the post holder is an active team member and role models and demonstrates the vision, mission and values of the organisation</w:t>
            </w:r>
          </w:p>
        </w:tc>
      </w:tr>
      <w:tr w:rsidR="00CF2040" w:rsidRPr="00DD0E0E" w14:paraId="2AD45509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819D7" w14:textId="11A1632E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Engaging in </w:t>
            </w:r>
            <w:r w:rsidR="006D17C1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supervision, </w:t>
            </w: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co-reflective practice, training and development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96413" w14:textId="4A45027D" w:rsidR="00F93A9D" w:rsidRDefault="00F93A9D" w:rsidP="00CF2040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Possess</w:t>
            </w:r>
            <w:r>
              <w:rPr>
                <w:rFonts w:cs="Arial"/>
                <w:color w:val="262626" w:themeColor="text1" w:themeTint="D9"/>
                <w:sz w:val="22"/>
                <w:szCs w:val="22"/>
              </w:rPr>
              <w:t>es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 xml:space="preserve"> up-to-date knowledge of the principles of recovery and peer support </w:t>
            </w:r>
            <w:r>
              <w:rPr>
                <w:rFonts w:cs="Arial"/>
                <w:color w:val="262626" w:themeColor="text1" w:themeTint="D9"/>
                <w:sz w:val="22"/>
                <w:szCs w:val="22"/>
              </w:rPr>
              <w:t>approaches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12454F4" w14:textId="04EB7FFB" w:rsidR="00CF2040" w:rsidRPr="00DD0E0E" w:rsidRDefault="00CF2040" w:rsidP="00CF2040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Participates in performance reviews and establishes and carries out a professional development plan</w:t>
            </w:r>
          </w:p>
          <w:p w14:paraId="09DBD442" w14:textId="77777777" w:rsidR="00CF2040" w:rsidRPr="00DD0E0E" w:rsidRDefault="00CF2040" w:rsidP="00CF2040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Participates in line-management fortnightly supervision</w:t>
            </w:r>
          </w:p>
          <w:p w14:paraId="516AA39E" w14:textId="71707E09" w:rsidR="00F93A9D" w:rsidRPr="00F93A9D" w:rsidRDefault="00CF2040" w:rsidP="00F93A9D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Participates in professional/Team co-reflective practice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3D4B8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522" w:hanging="52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Performance review will demonstrate that the post holder is developing professionally and improving relevant skills and attributes</w:t>
            </w:r>
          </w:p>
        </w:tc>
      </w:tr>
      <w:tr w:rsidR="00CF2040" w:rsidRPr="00DD0E0E" w14:paraId="59F3D24E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F0AF9" w14:textId="1A3AB4A9" w:rsidR="00CF2040" w:rsidRPr="00DD0E0E" w:rsidRDefault="00CF2040" w:rsidP="008929F2">
            <w:pPr>
              <w:pStyle w:val="Heading5"/>
              <w:snapToGrid w:val="0"/>
              <w:spacing w:after="120"/>
              <w:rPr>
                <w:rFonts w:cs="Arial"/>
                <w:color w:val="262626" w:themeColor="text1" w:themeTint="D9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Cs w:val="22"/>
              </w:rPr>
              <w:t xml:space="preserve">Practices effective </w:t>
            </w:r>
            <w:r w:rsidR="00F93A9D" w:rsidRPr="00DD0E0E">
              <w:rPr>
                <w:rFonts w:cs="Arial"/>
                <w:color w:val="262626" w:themeColor="text1" w:themeTint="D9"/>
                <w:szCs w:val="22"/>
              </w:rPr>
              <w:t>self-care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4AEA0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Balances demands of non-work and work life</w:t>
            </w:r>
          </w:p>
          <w:p w14:paraId="7B0C047E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Seeks support and help when needed</w:t>
            </w:r>
          </w:p>
          <w:p w14:paraId="171543D9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Prioritises and completes work</w:t>
            </w:r>
          </w:p>
          <w:p w14:paraId="25D888DE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Conducts self in an energetic and positive manner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7667D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360° feedback indicates that the post holder is perceived as professional, positive and manages workload and life balance effectively.</w:t>
            </w:r>
          </w:p>
        </w:tc>
      </w:tr>
    </w:tbl>
    <w:p w14:paraId="674ED1E3" w14:textId="77777777" w:rsidR="002D0993" w:rsidRDefault="002D0993" w:rsidP="00CF2040">
      <w:pPr>
        <w:pStyle w:val="BodyText3"/>
        <w:rPr>
          <w:rFonts w:cs="Arial"/>
          <w:color w:val="262626" w:themeColor="text1" w:themeTint="D9"/>
          <w:szCs w:val="22"/>
        </w:rPr>
      </w:pPr>
    </w:p>
    <w:p w14:paraId="71735807" w14:textId="08DBCE77" w:rsidR="00CF2040" w:rsidRPr="002D0993" w:rsidRDefault="00CF2040" w:rsidP="002D0993">
      <w:pPr>
        <w:pStyle w:val="BodyText3"/>
        <w:rPr>
          <w:rFonts w:cs="Arial"/>
          <w:color w:val="262626" w:themeColor="text1" w:themeTint="D9"/>
          <w:szCs w:val="22"/>
        </w:rPr>
      </w:pPr>
      <w:r w:rsidRPr="00DD0E0E">
        <w:rPr>
          <w:rFonts w:cs="Arial"/>
          <w:color w:val="262626" w:themeColor="text1" w:themeTint="D9"/>
          <w:szCs w:val="22"/>
        </w:rPr>
        <w:t>This list is not exhaustive and additional responsibilities and tasks may be required as requested by your line manage</w:t>
      </w:r>
      <w:r w:rsidR="002D0993">
        <w:rPr>
          <w:rFonts w:cs="Arial"/>
          <w:color w:val="262626" w:themeColor="text1" w:themeTint="D9"/>
          <w:szCs w:val="22"/>
        </w:rPr>
        <w:t>r</w:t>
      </w:r>
    </w:p>
    <w:p w14:paraId="7104F9A7" w14:textId="77777777" w:rsidR="00CF2040" w:rsidRPr="00BE19CB" w:rsidRDefault="00CF2040" w:rsidP="00CF2040">
      <w:pPr>
        <w:pStyle w:val="Heading3"/>
        <w:snapToGrid w:val="0"/>
        <w:spacing w:before="0" w:after="120"/>
        <w:jc w:val="center"/>
        <w:rPr>
          <w:b w:val="0"/>
          <w:bCs w:val="0"/>
          <w:color w:val="262626" w:themeColor="text1" w:themeTint="D9"/>
          <w:sz w:val="32"/>
          <w:szCs w:val="32"/>
        </w:rPr>
      </w:pPr>
      <w:r w:rsidRPr="00BE19CB">
        <w:rPr>
          <w:b w:val="0"/>
          <w:bCs w:val="0"/>
          <w:color w:val="262626" w:themeColor="text1" w:themeTint="D9"/>
          <w:sz w:val="32"/>
          <w:szCs w:val="32"/>
        </w:rPr>
        <w:lastRenderedPageBreak/>
        <w:t>Person Specification for:</w:t>
      </w:r>
    </w:p>
    <w:p w14:paraId="66EA7846" w14:textId="081A144F" w:rsidR="00CF2040" w:rsidRPr="00BE19CB" w:rsidRDefault="00CF2040" w:rsidP="00CF2040">
      <w:pPr>
        <w:pStyle w:val="Heading3"/>
        <w:snapToGrid w:val="0"/>
        <w:spacing w:before="0" w:after="120"/>
        <w:jc w:val="center"/>
        <w:rPr>
          <w:i/>
          <w:color w:val="262626" w:themeColor="text1" w:themeTint="D9"/>
          <w:sz w:val="36"/>
        </w:rPr>
      </w:pPr>
      <w:r w:rsidRPr="00BE19CB">
        <w:rPr>
          <w:i/>
          <w:color w:val="262626" w:themeColor="text1" w:themeTint="D9"/>
          <w:sz w:val="36"/>
        </w:rPr>
        <w:t xml:space="preserve">Residential </w:t>
      </w:r>
      <w:r w:rsidR="00F93A9D">
        <w:rPr>
          <w:i/>
          <w:color w:val="262626" w:themeColor="text1" w:themeTint="D9"/>
          <w:sz w:val="36"/>
        </w:rPr>
        <w:t xml:space="preserve">Peer </w:t>
      </w:r>
      <w:r w:rsidRPr="00BE19CB">
        <w:rPr>
          <w:i/>
          <w:color w:val="262626" w:themeColor="text1" w:themeTint="D9"/>
          <w:sz w:val="36"/>
        </w:rPr>
        <w:t>Support Worker</w:t>
      </w:r>
    </w:p>
    <w:p w14:paraId="4C14F1F7" w14:textId="77777777" w:rsidR="00CF2040" w:rsidRPr="00BE19CB" w:rsidRDefault="00CF2040" w:rsidP="00CF2040">
      <w:pPr>
        <w:tabs>
          <w:tab w:val="center" w:pos="2160"/>
          <w:tab w:val="center" w:pos="5310"/>
          <w:tab w:val="center" w:pos="8640"/>
        </w:tabs>
        <w:snapToGrid w:val="0"/>
        <w:spacing w:after="120"/>
        <w:rPr>
          <w:color w:val="262626" w:themeColor="text1" w:themeTint="D9"/>
          <w:sz w:val="22"/>
        </w:rPr>
      </w:pPr>
    </w:p>
    <w:tbl>
      <w:tblPr>
        <w:tblW w:w="102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53"/>
      </w:tblGrid>
      <w:tr w:rsidR="00CF2040" w:rsidRPr="00DD0E0E" w14:paraId="1B6EB251" w14:textId="77777777" w:rsidTr="00454B71">
        <w:tc>
          <w:tcPr>
            <w:tcW w:w="3261" w:type="dxa"/>
            <w:tcBorders>
              <w:bottom w:val="nil"/>
            </w:tcBorders>
            <w:shd w:val="clear" w:color="auto" w:fill="000000"/>
          </w:tcPr>
          <w:p w14:paraId="5A937715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000000"/>
          </w:tcPr>
          <w:p w14:paraId="664C3F1D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3453" w:type="dxa"/>
            <w:tcBorders>
              <w:bottom w:val="nil"/>
            </w:tcBorders>
            <w:shd w:val="clear" w:color="auto" w:fill="000000"/>
          </w:tcPr>
          <w:p w14:paraId="161E1740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Desirable</w:t>
            </w:r>
          </w:p>
        </w:tc>
      </w:tr>
      <w:tr w:rsidR="00CF2040" w:rsidRPr="00DD0E0E" w14:paraId="67BFAEB1" w14:textId="77777777" w:rsidTr="00454B71">
        <w:trPr>
          <w:trHeight w:val="109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8C85" w14:textId="77777777" w:rsidR="00CF2040" w:rsidRPr="00DD0E0E" w:rsidRDefault="00CF2040" w:rsidP="008929F2">
            <w:pPr>
              <w:pStyle w:val="Heading1"/>
              <w:snapToGrid w:val="0"/>
              <w:spacing w:before="0" w:beforeAutospacing="0" w:after="120" w:afterAutospacing="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Qualifications and training</w:t>
            </w:r>
          </w:p>
          <w:p w14:paraId="360A7B8C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26A4C" w14:textId="5DD4AE1B" w:rsidR="00CF2040" w:rsidRPr="00DD0E0E" w:rsidRDefault="00F93A9D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Qualification in Peer Support Work and/or </w:t>
            </w:r>
            <w:r w:rsidR="00C32A0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L4 </w:t>
            </w:r>
            <w:r w:rsidR="00CF2040"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Certificate in Mental Health Support Work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4D301" w14:textId="3EA8F520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Further training in the areas of mental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h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ealth, addictions, Māori models of health or other areas relevant to rehabilitation</w:t>
            </w:r>
            <w:r w:rsidR="00F93A9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or recovery principles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CF2040" w:rsidRPr="00DD0E0E" w14:paraId="6783ABC4" w14:textId="77777777" w:rsidTr="00454B7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DBAA1" w14:textId="77777777" w:rsidR="00CF2040" w:rsidRPr="00DD0E0E" w:rsidRDefault="00CF2040" w:rsidP="008929F2">
            <w:pPr>
              <w:pStyle w:val="Heading1"/>
              <w:snapToGrid w:val="0"/>
              <w:spacing w:before="0" w:beforeAutospacing="0" w:after="120" w:afterAutospacing="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Experience </w:t>
            </w:r>
          </w:p>
          <w:p w14:paraId="210D95C5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213773E5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5DD0C" w14:textId="3E1F6572" w:rsidR="00CF2040" w:rsidRPr="0012297A" w:rsidRDefault="00F93A9D" w:rsidP="0012297A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Lived</w:t>
            </w:r>
            <w:r w:rsidR="0012297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CF2040" w:rsidRPr="0012297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experience of </w:t>
            </w:r>
            <w:r w:rsidR="00B20E52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recovery from </w:t>
            </w:r>
            <w:r w:rsidR="00CF2040" w:rsidRPr="0012297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mental health issues and/or addiction issues 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E12CA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Experience working in mental health or addictions services, rehabilitation services, and/or working with Māori health models.</w:t>
            </w:r>
          </w:p>
        </w:tc>
      </w:tr>
      <w:tr w:rsidR="00CF2040" w:rsidRPr="00DD0E0E" w14:paraId="0F6C8A0F" w14:textId="77777777" w:rsidTr="00454B7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17CFB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Competencies</w:t>
            </w:r>
          </w:p>
          <w:p w14:paraId="54048FE9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4E11B89B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18E3FFC8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7DD85D97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708B6410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2E8A9D8B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16CAAE59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F3F6E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Written and verbal communication skills</w:t>
            </w:r>
          </w:p>
          <w:p w14:paraId="2A815A85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Ability to develop a rapport with others </w:t>
            </w:r>
          </w:p>
          <w:p w14:paraId="3F7A6806" w14:textId="7D6A9C5D" w:rsidR="00CF2040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/>
                <w:sz w:val="22"/>
                <w:szCs w:val="22"/>
              </w:rPr>
              <w:t xml:space="preserve">Ability to actively participate as a member of a team </w:t>
            </w:r>
          </w:p>
          <w:p w14:paraId="55F58180" w14:textId="197155D0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Planning &amp; organis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ation 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skills </w:t>
            </w:r>
          </w:p>
          <w:p w14:paraId="4675E4BD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Decision making/Problem solving skills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9C92" w14:textId="77777777" w:rsidR="00D02050" w:rsidRDefault="00D02050" w:rsidP="00D0205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Culturally Competent in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</w:rPr>
              <w:t>Ao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Māori.</w:t>
            </w:r>
          </w:p>
          <w:p w14:paraId="33D50D50" w14:textId="7992BFA2" w:rsidR="00CF2040" w:rsidRPr="00D02050" w:rsidRDefault="00D02050" w:rsidP="00D0205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proofErr w:type="spellStart"/>
            <w:r w:rsidRPr="00D02050">
              <w:rPr>
                <w:rFonts w:ascii="Arial" w:hAnsi="Arial" w:cs="Arial"/>
                <w:color w:val="262626"/>
                <w:sz w:val="22"/>
                <w:szCs w:val="22"/>
              </w:rPr>
              <w:t>Te</w:t>
            </w:r>
            <w:proofErr w:type="spellEnd"/>
            <w:r w:rsidRPr="00D02050"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D02050">
              <w:rPr>
                <w:rFonts w:ascii="Arial" w:hAnsi="Arial" w:cs="Arial"/>
                <w:color w:val="262626"/>
                <w:sz w:val="22"/>
                <w:szCs w:val="22"/>
              </w:rPr>
              <w:t>Reo</w:t>
            </w:r>
            <w:proofErr w:type="spellEnd"/>
            <w:r w:rsidRPr="00D02050">
              <w:rPr>
                <w:rFonts w:ascii="Arial" w:hAnsi="Arial" w:cs="Arial"/>
                <w:color w:val="262626"/>
                <w:sz w:val="22"/>
                <w:szCs w:val="22"/>
              </w:rPr>
              <w:t xml:space="preserve"> Māori.</w:t>
            </w:r>
          </w:p>
        </w:tc>
      </w:tr>
      <w:tr w:rsidR="00CF2040" w:rsidRPr="00DD0E0E" w14:paraId="31F9945B" w14:textId="77777777" w:rsidTr="00454B7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92CAD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0C6" w14:textId="5401888B" w:rsidR="00CF2040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Personal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values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align</w:t>
            </w:r>
            <w:r w:rsidR="006E218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ed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with a recovery-orientated service and Ember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’s organisational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values</w:t>
            </w:r>
          </w:p>
          <w:p w14:paraId="11EE6AE5" w14:textId="77777777" w:rsidR="008457FB" w:rsidRDefault="008457FB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Commitment to Treaty of Waitangi principles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34E1724" w14:textId="050E5563" w:rsidR="0012297A" w:rsidRPr="00DD0E0E" w:rsidRDefault="0012297A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Willing to share personal stories of recovery</w:t>
            </w:r>
            <w:r w:rsidR="00B20E52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in order to support others</w:t>
            </w:r>
          </w:p>
          <w:p w14:paraId="61DD134B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A positive attitude and desire to “go the extra mile”</w:t>
            </w:r>
          </w:p>
          <w:p w14:paraId="793A1C81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Personal resilience </w:t>
            </w:r>
            <w:r w:rsidRPr="00DD0E0E">
              <w:rPr>
                <w:rFonts w:ascii="Arial" w:hAnsi="Arial" w:cs="Arial"/>
                <w:color w:val="262626"/>
                <w:sz w:val="22"/>
                <w:szCs w:val="22"/>
              </w:rPr>
              <w:t>and self-confidence</w:t>
            </w:r>
          </w:p>
          <w:p w14:paraId="45646F28" w14:textId="1C39BAB8" w:rsidR="008457FB" w:rsidRPr="008457FB" w:rsidRDefault="006E2184" w:rsidP="008457FB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Attention to detail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939C2" w14:textId="77777777" w:rsidR="00CF2040" w:rsidRPr="00DD0E0E" w:rsidRDefault="00CF2040" w:rsidP="008929F2">
            <w:pPr>
              <w:pStyle w:val="BodyText2"/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AA27061" w14:textId="77777777" w:rsidR="00B20E52" w:rsidRPr="00DD0E0E" w:rsidRDefault="00B20E52" w:rsidP="00CF2040">
      <w:pPr>
        <w:tabs>
          <w:tab w:val="center" w:pos="1800"/>
          <w:tab w:val="center" w:pos="4590"/>
          <w:tab w:val="center" w:pos="8100"/>
        </w:tabs>
        <w:snapToGrid w:val="0"/>
        <w:spacing w:after="120"/>
        <w:rPr>
          <w:rFonts w:cs="Arial"/>
          <w:color w:val="262626" w:themeColor="text1" w:themeTint="D9"/>
          <w:sz w:val="22"/>
          <w:szCs w:val="22"/>
        </w:rPr>
      </w:pPr>
    </w:p>
    <w:p w14:paraId="06438058" w14:textId="14BDEAD8" w:rsidR="008F3CD2" w:rsidRPr="00B20E52" w:rsidRDefault="00CF2040" w:rsidP="00B20E52">
      <w:pPr>
        <w:tabs>
          <w:tab w:val="center" w:pos="1800"/>
          <w:tab w:val="center" w:pos="4590"/>
          <w:tab w:val="center" w:pos="8100"/>
        </w:tabs>
        <w:snapToGrid w:val="0"/>
        <w:spacing w:after="120"/>
        <w:jc w:val="right"/>
        <w:rPr>
          <w:rFonts w:cs="Arial"/>
          <w:color w:val="262626" w:themeColor="text1" w:themeTint="D9"/>
          <w:sz w:val="22"/>
          <w:szCs w:val="22"/>
        </w:rPr>
      </w:pPr>
      <w:r w:rsidRPr="00DD0E0E">
        <w:rPr>
          <w:rFonts w:cs="Arial"/>
          <w:color w:val="262626" w:themeColor="text1" w:themeTint="D9"/>
          <w:sz w:val="22"/>
          <w:szCs w:val="22"/>
        </w:rPr>
        <w:t xml:space="preserve">Date for Review: ___________ </w:t>
      </w:r>
    </w:p>
    <w:sectPr w:rsidR="008F3CD2" w:rsidRPr="00B20E52" w:rsidSect="002D0993">
      <w:footerReference w:type="default" r:id="rId7"/>
      <w:headerReference w:type="first" r:id="rId8"/>
      <w:pgSz w:w="11906" w:h="16838" w:code="9"/>
      <w:pgMar w:top="1264" w:right="1418" w:bottom="1418" w:left="1418" w:header="720" w:footer="28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2640" w14:textId="77777777" w:rsidR="00CD334C" w:rsidRDefault="00CD334C" w:rsidP="002D0993">
      <w:r>
        <w:separator/>
      </w:r>
    </w:p>
  </w:endnote>
  <w:endnote w:type="continuationSeparator" w:id="0">
    <w:p w14:paraId="5D40ACC6" w14:textId="77777777" w:rsidR="00CD334C" w:rsidRDefault="00CD334C" w:rsidP="002D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53A1" w14:textId="5891ADD5" w:rsidR="002D0993" w:rsidRDefault="002D099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C69C45" wp14:editId="12501E1A">
          <wp:simplePos x="0" y="0"/>
          <wp:positionH relativeFrom="column">
            <wp:posOffset>-274320</wp:posOffset>
          </wp:positionH>
          <wp:positionV relativeFrom="paragraph">
            <wp:posOffset>-627575</wp:posOffset>
          </wp:positionV>
          <wp:extent cx="1394085" cy="619031"/>
          <wp:effectExtent l="0" t="0" r="317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085" cy="61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7D358" w14:textId="77777777" w:rsidR="00CD334C" w:rsidRDefault="00CD334C" w:rsidP="002D0993">
      <w:r>
        <w:separator/>
      </w:r>
    </w:p>
  </w:footnote>
  <w:footnote w:type="continuationSeparator" w:id="0">
    <w:p w14:paraId="73C7D1B8" w14:textId="77777777" w:rsidR="00CD334C" w:rsidRDefault="00CD334C" w:rsidP="002D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30A0" w14:textId="77777777" w:rsidR="004D36DF" w:rsidRDefault="00CD334C">
    <w:pPr>
      <w:pStyle w:val="Header"/>
    </w:pPr>
    <w:r>
      <w:rPr>
        <w:noProof/>
      </w:rPr>
      <w:pict w14:anchorId="55FEE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" style="position:absolute;margin-left:320.95pt;margin-top:-26.3pt;width:151.45pt;height:67.25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2C5"/>
    <w:multiLevelType w:val="hybridMultilevel"/>
    <w:tmpl w:val="134C9292"/>
    <w:lvl w:ilvl="0" w:tplc="E3F4A12A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E3F4A12A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21E"/>
    <w:multiLevelType w:val="hybridMultilevel"/>
    <w:tmpl w:val="A5FE952C"/>
    <w:lvl w:ilvl="0" w:tplc="4E10C424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ACE"/>
    <w:multiLevelType w:val="hybridMultilevel"/>
    <w:tmpl w:val="F398D008"/>
    <w:lvl w:ilvl="0" w:tplc="E3F4A12A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95D"/>
    <w:multiLevelType w:val="hybridMultilevel"/>
    <w:tmpl w:val="A7A273A0"/>
    <w:lvl w:ilvl="0" w:tplc="4E10C424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7E01"/>
    <w:multiLevelType w:val="hybridMultilevel"/>
    <w:tmpl w:val="9D8A2828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3742EF"/>
    <w:multiLevelType w:val="hybridMultilevel"/>
    <w:tmpl w:val="3162C206"/>
    <w:lvl w:ilvl="0" w:tplc="E3F4A12A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4E10C42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626F"/>
    <w:multiLevelType w:val="hybridMultilevel"/>
    <w:tmpl w:val="C5804696"/>
    <w:lvl w:ilvl="0" w:tplc="7CDA37AA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F4A12A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732B"/>
    <w:multiLevelType w:val="hybridMultilevel"/>
    <w:tmpl w:val="B6849E90"/>
    <w:lvl w:ilvl="0" w:tplc="4E10C424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D2"/>
    <w:rsid w:val="0001677E"/>
    <w:rsid w:val="00045525"/>
    <w:rsid w:val="0012155A"/>
    <w:rsid w:val="0012297A"/>
    <w:rsid w:val="001C45E5"/>
    <w:rsid w:val="0027054C"/>
    <w:rsid w:val="002D0993"/>
    <w:rsid w:val="00326238"/>
    <w:rsid w:val="003617FF"/>
    <w:rsid w:val="003D0BF5"/>
    <w:rsid w:val="00454B71"/>
    <w:rsid w:val="00457A7B"/>
    <w:rsid w:val="00490C13"/>
    <w:rsid w:val="005616A6"/>
    <w:rsid w:val="006B3617"/>
    <w:rsid w:val="006C0745"/>
    <w:rsid w:val="006D17C1"/>
    <w:rsid w:val="006E2184"/>
    <w:rsid w:val="00832AE8"/>
    <w:rsid w:val="008457FB"/>
    <w:rsid w:val="00855870"/>
    <w:rsid w:val="008F3CD2"/>
    <w:rsid w:val="00996AF7"/>
    <w:rsid w:val="009C255C"/>
    <w:rsid w:val="00A1398D"/>
    <w:rsid w:val="00A45145"/>
    <w:rsid w:val="00A67D33"/>
    <w:rsid w:val="00A8402A"/>
    <w:rsid w:val="00B124BF"/>
    <w:rsid w:val="00B20E52"/>
    <w:rsid w:val="00B40C82"/>
    <w:rsid w:val="00B61D0A"/>
    <w:rsid w:val="00C145BF"/>
    <w:rsid w:val="00C1571D"/>
    <w:rsid w:val="00C32A0A"/>
    <w:rsid w:val="00C5322B"/>
    <w:rsid w:val="00CD334C"/>
    <w:rsid w:val="00CF2040"/>
    <w:rsid w:val="00CF2E41"/>
    <w:rsid w:val="00D02050"/>
    <w:rsid w:val="00D03B28"/>
    <w:rsid w:val="00E45250"/>
    <w:rsid w:val="00ED6793"/>
    <w:rsid w:val="00F067D6"/>
    <w:rsid w:val="00F56267"/>
    <w:rsid w:val="00F93A9D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51EB99"/>
  <w15:chartTrackingRefBased/>
  <w15:docId w15:val="{7D9633F1-60BC-A641-BA30-ACFB291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D2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8F3CD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next w:val="Normal"/>
    <w:link w:val="Heading3Char"/>
    <w:qFormat/>
    <w:rsid w:val="008F3C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3C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3CD2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CD2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rsid w:val="008F3CD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F3C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F3CD2"/>
    <w:rPr>
      <w:rFonts w:ascii="Arial" w:eastAsia="Times New Roman" w:hAnsi="Arial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8F3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3CD2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8F3CD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8F3CD2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8F3CD2"/>
    <w:pPr>
      <w:tabs>
        <w:tab w:val="center" w:pos="1800"/>
        <w:tab w:val="center" w:pos="4590"/>
        <w:tab w:val="center" w:pos="8100"/>
      </w:tabs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8F3CD2"/>
    <w:rPr>
      <w:rFonts w:ascii="Arial" w:eastAsia="Times New Roman" w:hAnsi="Arial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8F3C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F3CD2"/>
    <w:rPr>
      <w:rFonts w:ascii="Arial" w:eastAsia="Times New Roman" w:hAnsi="Arial" w:cs="Times New Roman"/>
      <w:szCs w:val="20"/>
    </w:rPr>
  </w:style>
  <w:style w:type="paragraph" w:customStyle="1" w:styleId="TxBrt20">
    <w:name w:val="TxBr_t20"/>
    <w:basedOn w:val="Normal"/>
    <w:rsid w:val="008F3CD2"/>
    <w:pPr>
      <w:widowControl w:val="0"/>
      <w:autoSpaceDE w:val="0"/>
      <w:autoSpaceDN w:val="0"/>
      <w:spacing w:line="277" w:lineRule="atLeast"/>
    </w:pPr>
    <w:rPr>
      <w:rFonts w:ascii="Times New Roman" w:hAnsi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9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Carey</cp:lastModifiedBy>
  <cp:revision>2</cp:revision>
  <dcterms:created xsi:type="dcterms:W3CDTF">2020-10-07T01:04:00Z</dcterms:created>
  <dcterms:modified xsi:type="dcterms:W3CDTF">2020-10-07T01:04:00Z</dcterms:modified>
</cp:coreProperties>
</file>